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DE" w:rsidRDefault="00CD07D0">
      <w:pPr>
        <w:pStyle w:val="Standard"/>
        <w:spacing w:before="300" w:line="300" w:lineRule="atLeas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Cs w:val="28"/>
        </w:rPr>
        <w:t>ПАМЯТКА ДЛЯ ПАЦИЕНТОК, ПЛАНИРУЮЩИХ БЕРЕМЕННОСТЬ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К беременности нужно готовиться! Правильно выполненная прегравидарная подготовка существенно снижает акушерские и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перинатальные риски, облегчает течение беременности и даже влияет на здоровье и когнитивные способности будущего ребёнка.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1. Что такое прегравидарная подготовка?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Прегравидарная подготовка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— это комплекс диагностических и лечебно-профилактических мероприяти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й, направленных на подготовку пары к успешному зачатию, нормальному течению беременности и рождению здорового ребёнка. Она также включает оценку всех имеющихся факторов риска (медицинских, социально-экономических, культурных и т.д.) и устранение/уменьшение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 их влияния.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Перечень мероприятий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достаточно широк, тем не менее его желательно выполнить, чтобы максимально предупредить возможные осложнения беременности. Длительность прегравидарной подготовки не регламентирована, сроки (как и сами этапы) устанавливают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индивидуально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Несмотря на персонализированный подход, часть мероприятий необходимы всем парам, готовящимся к беременности:</w:t>
      </w:r>
    </w:p>
    <w:p w:rsidR="009939DE" w:rsidRDefault="00CD07D0">
      <w:pPr>
        <w:pStyle w:val="Standard"/>
        <w:numPr>
          <w:ilvl w:val="0"/>
          <w:numId w:val="18"/>
        </w:numPr>
        <w:tabs>
          <w:tab w:val="left" w:pos="568"/>
        </w:tabs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модификация образа жизни, нормализация режима сон–бодрствование;</w:t>
      </w:r>
    </w:p>
    <w:p w:rsidR="009939DE" w:rsidRDefault="00CD07D0">
      <w:pPr>
        <w:pStyle w:val="Standard"/>
        <w:numPr>
          <w:ilvl w:val="0"/>
          <w:numId w:val="14"/>
        </w:numPr>
        <w:tabs>
          <w:tab w:val="left" w:pos="568"/>
        </w:tabs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отказ от вредных привычек (курение, употребление алкоголя, наркотич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еских веществ);</w:t>
      </w:r>
    </w:p>
    <w:p w:rsidR="009939DE" w:rsidRDefault="00CD07D0">
      <w:pPr>
        <w:pStyle w:val="Standard"/>
        <w:numPr>
          <w:ilvl w:val="0"/>
          <w:numId w:val="14"/>
        </w:numPr>
        <w:tabs>
          <w:tab w:val="left" w:pos="568"/>
        </w:tabs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сбалансированное питание (достаточное, но не избыточное количество белков, жиров и углеводов; ежедневное включение в рацион овощей и фруктов в умеренном количестве);</w:t>
      </w:r>
    </w:p>
    <w:p w:rsidR="009939DE" w:rsidRDefault="00CD07D0">
      <w:pPr>
        <w:pStyle w:val="Standard"/>
        <w:numPr>
          <w:ilvl w:val="0"/>
          <w:numId w:val="14"/>
        </w:numPr>
        <w:tabs>
          <w:tab w:val="left" w:pos="568"/>
        </w:tabs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устранение или снижение влияния стрессовых факторов;</w:t>
      </w:r>
    </w:p>
    <w:p w:rsidR="009939DE" w:rsidRDefault="00CD07D0">
      <w:pPr>
        <w:pStyle w:val="Standard"/>
        <w:numPr>
          <w:ilvl w:val="0"/>
          <w:numId w:val="14"/>
        </w:numPr>
        <w:tabs>
          <w:tab w:val="left" w:pos="568"/>
        </w:tabs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регулярная физическая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 активность;</w:t>
      </w:r>
    </w:p>
    <w:p w:rsidR="009939DE" w:rsidRDefault="00CD07D0">
      <w:pPr>
        <w:pStyle w:val="Standard"/>
        <w:tabs>
          <w:tab w:val="left" w:pos="568"/>
        </w:tabs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Для людей с нормальным индек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softHyphen/>
        <w:t>сом массы тела (18,5–24,9 кг/м</w:t>
      </w:r>
      <w:r>
        <w:rPr>
          <w:rFonts w:ascii="Times New Roman" w:eastAsia="Times New Roman" w:hAnsi="Times New Roman" w:cs="Times New Roman"/>
          <w:color w:val="4A4A4A"/>
          <w:sz w:val="17"/>
          <w:szCs w:val="17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) общая продолжительность аэробных упражнений умеренной интенсивности должна быть не менее 150 мин/нед, высокой — не менее 75 мин/нед.</w:t>
      </w:r>
    </w:p>
    <w:p w:rsidR="009939DE" w:rsidRDefault="00CD07D0">
      <w:pPr>
        <w:pStyle w:val="Standard"/>
        <w:numPr>
          <w:ilvl w:val="0"/>
          <w:numId w:val="19"/>
        </w:numPr>
        <w:tabs>
          <w:tab w:val="left" w:pos="568"/>
        </w:tabs>
        <w:spacing w:before="150" w:after="1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консультация акушера-гинеколога и других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специалистов на этапе планирования бере-менности с выполнением рекомендаций по обследованию и лечению.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2. Какие обследования необходимы женщине перед беременностью?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Прегравидарная подготовка начинается с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беседы с акушером-гинекологом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 Доктор подробно рассп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росит вас о жалобах, перенесённых заболеваниях (ваших и ваших близких родственников). В ходе консультации врач выполнит клинический и гинекологический осмотр и назначит необходимые лабораторные и инструментальные исследования.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  <w:u w:val="single"/>
        </w:rPr>
        <w:t>Совет!!!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Перед посещением спе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циалиста уточните информацию о наличии в семье каких-либо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lastRenderedPageBreak/>
        <w:t>заболеваний, причинах смерти старших родственников. Если возможно, расспросите маму о течении беременности. Для того чтобы ничего не забыть, можно составить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генеалогическое древо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 Кстати, можно узна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ть много интересного о своей семье. Будет что рассказать детям!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Как правило, в ходе прегравидарной подготовки доктор назначает:</w:t>
      </w:r>
    </w:p>
    <w:p w:rsidR="009939DE" w:rsidRDefault="00CD07D0">
      <w:pPr>
        <w:pStyle w:val="Standard"/>
        <w:numPr>
          <w:ilvl w:val="0"/>
          <w:numId w:val="20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клинический анализ крови;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определение группы крови и резус-фактора;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определение уровня глюкозы в плазме венозной крови или в кап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иллярной крови натощак;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определение антител к бледной трепонеме (возбудителю сифилиса), антигенов и анти-тел к ВИЧ-1 и -2, выявление HBsAg (маркёр заражения вирусным гепатитом В), антител к вирусному гепатиту C (anti-HCV) и вирусу краснухи;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определение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концентрации тиреотропного гормона (ТТГ);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общий анализ мочи;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исследование вагинального отделяемого (оценка микробиоценоза влагалища) и забор материала для диагностики инфекций, передаваемых половым путём (ИППП), ВПЧ-тест, цитологическое исследование мазков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 с области экзо- и эндоцервикса;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УЗИ органов малого таза;</w:t>
      </w:r>
    </w:p>
    <w:p w:rsidR="009939DE" w:rsidRDefault="00CD07D0">
      <w:pPr>
        <w:pStyle w:val="Standard"/>
        <w:numPr>
          <w:ilvl w:val="0"/>
          <w:numId w:val="16"/>
        </w:numPr>
        <w:spacing w:before="300" w:line="30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консультацию терапевта и стоматолога.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Список необходимых обследований определяет врач, и в зависимости от вашего состояния здоровья, наличия сопутствующих заболеваний перечень может существенно отли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чаться от приведённого примера.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Если у женщины резус-отрицательная кровь, необходимо определить резус-принадлежность партнёра.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3. Нужны ли обследования мужчине?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В обществе сложилось мнение о приоритете женских причин неблагоприятных исходов беременности.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Однако для зачатия нужны двое, и «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мужской фактор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» тоже может оказать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отрицательное влияние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Когда же необходимо побеспокоиться об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обследовании мужчины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и с чего нужно начинать? Назначить комплекс диагностических мероприятий поможет уролог. Консультация этог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о специалиста показана, если возраст партнёра старше 40 лет, ранее он перенёс ИППП (а тем более болеет сейчас!), занят на работах с вредными и/или опасными условиями труда (например, различные виды промышленности, контакт с токсическими веществами), а такж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е в случае бесплодия пары.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Бесплодие — заболевание, при котором беременность не наступает в течение 12 мес регулярной половой жизни без контрацепции.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lastRenderedPageBreak/>
        <w:t>4. Каким должен быть период между рождением ребёнка и последующей беременностью?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Период между рождением ре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бёнка и наступлением последующей беременности называют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интергенетическим интервалом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 Желательно, чтобы он составлял не менее 2 лет (у женщин старше 35 лет допускают 12 мес). Более короткий временной промежуток ассоциирован с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повышенными рисками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неблагоприя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тных исходов беременности из-за увеличения нагрузки на организм матери и неполного восстановления после рождения предыдущего ребёнка.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Следствием короткого интергенетического интервала могут быть преждевременные роды, рождение маловесного ребёнка, анемия (н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изкое содержание гемоглобина), кровотечения, отслойка плаценты,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повышенная заболеваемость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новорождённого.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5. Необходимо ли вакцинироваться до беременности?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Если вы не были привиты и не болели краснухой и корью, то следует провести вакцинацию от этих инфекц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ионных заболеваний. Необходимо также наличие прививок от вирусного гепатита В, дифтерии и столбняка (давностью не более 10 лет назад).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NB! После прививки необходимо предохраняться в течение 3 мес.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6. Достаточно ли только рационально питаться или необходимо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 xml:space="preserve"> принимать витаминно-минеральные комплексы?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Следует всегда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питаться сбалансированно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 Однако важно понимать, что современный рацион не всегда может полностью удовлетворить потребность в некоторых микронутриентах. К сожалению, вследствие химического воздейст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вия на аграрные культуры, токсичности некоторых соединений окружающей среды, многократной тепловой обработки продуктов в них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снизилось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количество витаминов и минералов за последние несколько лет. Именно поэтому часть из них необходимо вводить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дополнительно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: в виде отдельных препаратов или в составе витаминно-минеральных комплексов.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7. Какие витамины и минералы важны для рождения здорового ребёнка?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Йод.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Практически для всех жителей России характерна нехватка йода. Не устранённый до беременности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йододефицит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ч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реват нарушением развития головного мозга и нервной системы плода, высокими рисками младенческой смертности и кретинизма (умственная отсталость). Чтобы уменьшить эти неблагоприятные последствия, необходим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дополнительный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приём препаратов йода: женщинам в до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зе 150 мкг/сут, мужчинам — 100 мкг/сут на протяжении 3 мес до зачатия.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Фолаты.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Дефицит фолатов также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распространён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 Низкая концентрация фолиевой кислоты в организме матери может быть причиной тяжёлых пороков развития у плода. У детей, рождённых от женщин с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 нехваткой фолатов, могут быть дефекты нервной трубки (</w:t>
      </w:r>
      <w:r>
        <w:rPr>
          <w:rFonts w:ascii="Times New Roman" w:eastAsia="Times New Roman" w:hAnsi="Times New Roman" w:cs="Times New Roman"/>
          <w:i/>
          <w:iCs/>
          <w:color w:val="4A4A4A"/>
          <w:sz w:val="23"/>
          <w:szCs w:val="23"/>
        </w:rPr>
        <w:t>spina bifida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— незаращение позвоночного столба), различные аномалии головного мозга, сердечно-сосудистой системы и мочеполовых органов.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Для предупреждения этих осложнений женщине следует принимать фоли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евую кислоту в дозе 400 мкг/сут на протяжении 3 мес до зачатия. Важно понимать, развитие нервной системы и формирование пороков происходит на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самых ранних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сроках беременности — когда женщина даже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не знает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 о случившемся зачатии (ещё не было задержки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очередной менструации). Вот почему приём препаратов 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lastRenderedPageBreak/>
        <w:t>фолиевой кислоты после осознания факта гестации может быть уже поздней профилактической мерой.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Железо.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Каждая женщина регулярно «теряет» железо — вместе с менструациями. Если у вас нет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обильной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ежемесячно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й кровопотери, то регулярное потребление мяса (говядина, печень) компенсирует недостаток микроэлемента и поддерживает его баланс. Однако вследствие нерационального питания это наблюдается достаточно редко — у большинства представительниц прекрасного пола в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сё-таки есть дефицит железа, который также увеличивает риски неблагоприятного течения беременности.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На этапе прегравидарной подготовки и во время беременности избегайте приёма любых препаратов и БАДов без консультации врача, особенно «за компанию» с кем-то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 Даже, казалось бы, безобидные витамины могут быть вредны — их избыток так же опасен, как и недостаток!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В витаминно-минеральных комплексах железо содержится в профилактических дозах — около 30–60 мг, что предназначено для профилактики его нехватки. Однако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 для лечения выраженной недостаточности требуются лечебные препараты с бóльшими дозами действую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softHyphen/>
        <w:t>щего вещества. Какие необходимы вам —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решает доктор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Витамин D.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Условно здоровым женщинам не показано определение уровня 25(ОН)D — активного метаболита 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витамина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в сыворотке крови. Тем не менее рутинный приём витамина D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в профилактической дозе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800–2000 МЕ/сут можно рекомендовать практически всем: воздействие солнечного света недостаточно для его выработки в коже, а с продуктами питания большинство людей его также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 xml:space="preserve"> недополучают.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Если же концентрация 25(ОН)D была определена (по разным причинам) и она ниже нормальных значений (30 нг/мл), то профилактической дозы витамина D будет недостаточно для восполнения дефицита. В таких случаях терапию назначает врач.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Полиненасыщ</w:t>
      </w: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енные жирные кислоты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 (ПНЖК). Достаточное потребление ω-3-ПНЖК помогает увеличить вероятность зачатия, положительно влияет на формирование головного мозга плода, развитие иммунной системы и когнитивные функции ребёнка в будущем.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Достаточным считают потребле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ние 200–300 мг ПНЖК в сутки. Это можно обеспечить при помощи биологически активных добавок (согласно их инструкции по применению) или если дважды в неделю включать в рацион рыбу (например, лосось, форель, сельдь). В то же время не рекомендуется использоват</w:t>
      </w: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ь в питании тунца, марлина, акулу из-за высокого содержания в них ртути.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</w:rPr>
        <w:t>Индивидуальные рекомендации</w:t>
      </w:r>
    </w:p>
    <w:p w:rsidR="009939DE" w:rsidRDefault="00CD07D0">
      <w:pPr>
        <w:pStyle w:val="Standard"/>
        <w:spacing w:before="300" w:line="300" w:lineRule="atLeast"/>
        <w:jc w:val="both"/>
      </w:pPr>
      <w:r>
        <w:rPr>
          <w:rFonts w:ascii="Times New Roman" w:eastAsia="Times New Roman" w:hAnsi="Times New Roman" w:cs="Times New Roman"/>
          <w:color w:val="4A4A4A"/>
          <w:sz w:val="23"/>
          <w:szCs w:val="23"/>
        </w:rPr>
        <w:t>Каждая беременность — уникальна и требует определённых подходов. Попросите вашего лечащего врача дать вам индивидуальные рекомендации.</w:t>
      </w:r>
    </w:p>
    <w:p w:rsidR="009939DE" w:rsidRDefault="009939DE">
      <w:pPr>
        <w:pStyle w:val="Standard"/>
      </w:pPr>
    </w:p>
    <w:sectPr w:rsidR="009939DE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D0" w:rsidRDefault="00CD07D0">
      <w:r>
        <w:separator/>
      </w:r>
    </w:p>
  </w:endnote>
  <w:endnote w:type="continuationSeparator" w:id="0">
    <w:p w:rsidR="00CD07D0" w:rsidRDefault="00C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charset w:val="00"/>
    <w:family w:val="auto"/>
    <w:pitch w:val="default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C8" w:rsidRDefault="00CD07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D0" w:rsidRDefault="00CD07D0">
      <w:r>
        <w:rPr>
          <w:color w:val="000000"/>
        </w:rPr>
        <w:separator/>
      </w:r>
    </w:p>
  </w:footnote>
  <w:footnote w:type="continuationSeparator" w:id="0">
    <w:p w:rsidR="00CD07D0" w:rsidRDefault="00CD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C8" w:rsidRDefault="00CD07D0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5903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907"/>
    <w:multiLevelType w:val="multilevel"/>
    <w:tmpl w:val="94E6B3B2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" w15:restartNumberingAfterBreak="0">
    <w:nsid w:val="021E696F"/>
    <w:multiLevelType w:val="multilevel"/>
    <w:tmpl w:val="40CA0626"/>
    <w:styleLink w:val="WWNum1"/>
    <w:lvl w:ilvl="0">
      <w:numFmt w:val="bullet"/>
      <w:lvlText w:val=""/>
      <w:lvlJc w:val="left"/>
      <w:pPr>
        <w:ind w:left="720" w:hanging="360"/>
      </w:pPr>
      <w:rPr>
        <w:rFonts w:ascii="0" w:hAnsi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0" w:hAnsi="0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0" w:hAnsi="0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0" w:hAnsi="0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0" w:hAnsi="0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  <w:sz w:val="20"/>
      </w:rPr>
    </w:lvl>
  </w:abstractNum>
  <w:abstractNum w:abstractNumId="2" w15:restartNumberingAfterBreak="0">
    <w:nsid w:val="02F355C4"/>
    <w:multiLevelType w:val="multilevel"/>
    <w:tmpl w:val="EA94E83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0EF511F0"/>
    <w:multiLevelType w:val="multilevel"/>
    <w:tmpl w:val="AD2625E0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4" w15:restartNumberingAfterBreak="0">
    <w:nsid w:val="13C222E8"/>
    <w:multiLevelType w:val="multilevel"/>
    <w:tmpl w:val="C3FE586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5" w15:restartNumberingAfterBreak="0">
    <w:nsid w:val="23B6318C"/>
    <w:multiLevelType w:val="multilevel"/>
    <w:tmpl w:val="24C4F7F4"/>
    <w:styleLink w:val="WWNum2"/>
    <w:lvl w:ilvl="0">
      <w:numFmt w:val="bullet"/>
      <w:lvlText w:val=""/>
      <w:lvlJc w:val="left"/>
      <w:pPr>
        <w:ind w:left="720" w:hanging="360"/>
      </w:pPr>
      <w:rPr>
        <w:rFonts w:ascii="0" w:hAnsi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0" w:hAnsi="0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0" w:hAnsi="0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0" w:hAnsi="0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0" w:hAnsi="0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  <w:sz w:val="20"/>
      </w:rPr>
    </w:lvl>
  </w:abstractNum>
  <w:abstractNum w:abstractNumId="6" w15:restartNumberingAfterBreak="0">
    <w:nsid w:val="25A73B06"/>
    <w:multiLevelType w:val="multilevel"/>
    <w:tmpl w:val="25906A7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2EFC45E6"/>
    <w:multiLevelType w:val="multilevel"/>
    <w:tmpl w:val="A288A31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411B7C32"/>
    <w:multiLevelType w:val="multilevel"/>
    <w:tmpl w:val="CFB61D50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9" w15:restartNumberingAfterBreak="0">
    <w:nsid w:val="4C993D2E"/>
    <w:multiLevelType w:val="multilevel"/>
    <w:tmpl w:val="912E3350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0" w15:restartNumberingAfterBreak="0">
    <w:nsid w:val="518F1492"/>
    <w:multiLevelType w:val="multilevel"/>
    <w:tmpl w:val="CC380428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1" w15:restartNumberingAfterBreak="0">
    <w:nsid w:val="5932249A"/>
    <w:multiLevelType w:val="multilevel"/>
    <w:tmpl w:val="AE1852E6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5B602898"/>
    <w:multiLevelType w:val="multilevel"/>
    <w:tmpl w:val="F958492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3" w15:restartNumberingAfterBreak="0">
    <w:nsid w:val="64EB4589"/>
    <w:multiLevelType w:val="multilevel"/>
    <w:tmpl w:val="93F6C26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4" w15:restartNumberingAfterBreak="0">
    <w:nsid w:val="68001E8B"/>
    <w:multiLevelType w:val="multilevel"/>
    <w:tmpl w:val="FA0C5EC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5" w15:restartNumberingAfterBreak="0">
    <w:nsid w:val="739870A5"/>
    <w:multiLevelType w:val="multilevel"/>
    <w:tmpl w:val="84EE3176"/>
    <w:styleLink w:val="WWNum3"/>
    <w:lvl w:ilvl="0">
      <w:numFmt w:val="bullet"/>
      <w:lvlText w:val=""/>
      <w:lvlJc w:val="left"/>
      <w:pPr>
        <w:ind w:left="720" w:hanging="360"/>
      </w:pPr>
      <w:rPr>
        <w:rFonts w:ascii="0" w:hAnsi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0" w:hAnsi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0" w:hAnsi="0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0" w:hAnsi="0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0" w:hAnsi="0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0" w:hAnsi="0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/>
        <w:sz w:val="20"/>
      </w:rPr>
    </w:lvl>
  </w:abstractNum>
  <w:abstractNum w:abstractNumId="16" w15:restartNumberingAfterBreak="0">
    <w:nsid w:val="77181CB7"/>
    <w:multiLevelType w:val="multilevel"/>
    <w:tmpl w:val="AFD88CC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  <w:num w:numId="17">
    <w:abstractNumId w:val="16"/>
  </w:num>
  <w:num w:numId="18">
    <w:abstractNumId w:val="1"/>
    <w:lvlOverride w:ilvl="0"/>
  </w:num>
  <w:num w:numId="19">
    <w:abstractNumId w:val="5"/>
    <w:lvlOverride w:ilvl="0"/>
  </w:num>
  <w:num w:numId="20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39DE"/>
    <w:rsid w:val="005903C9"/>
    <w:rsid w:val="009939DE"/>
    <w:rsid w:val="00C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A925F-CFEC-41EF-B958-AE0C5B1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Normal (Web)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</w:rPr>
  </w:style>
  <w:style w:type="paragraph" w:customStyle="1" w:styleId="af0">
    <w:name w:val="Мой стиль"/>
    <w:basedOn w:val="Standard"/>
    <w:pPr>
      <w:spacing w:line="360" w:lineRule="exact"/>
      <w:ind w:firstLine="709"/>
      <w:jc w:val="both"/>
    </w:pPr>
    <w:rPr>
      <w:rFonts w:ascii="Times New Roman" w:eastAsia="Times New Roman" w:hAnsi="Times New Roman" w:cs="Helvetica"/>
      <w:color w:val="000000"/>
      <w:szCs w:val="23"/>
      <w:shd w:val="clear" w:color="auto" w:fill="FFFFFF"/>
    </w:rPr>
  </w:style>
  <w:style w:type="paragraph" w:customStyle="1" w:styleId="12">
    <w:name w:val="Мой стиль 1"/>
    <w:basedOn w:val="Standard"/>
    <w:pPr>
      <w:spacing w:line="360" w:lineRule="exact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2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sz w:val="20"/>
    </w:rPr>
  </w:style>
  <w:style w:type="character" w:styleId="af3">
    <w:name w:val="Strong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4">
    <w:name w:val="Мой стиль Знак"/>
    <w:rPr>
      <w:rFonts w:ascii="Times New Roman" w:eastAsia="Times New Roman" w:hAnsi="Times New Roman" w:cs="Helvetica"/>
      <w:color w:val="000000"/>
      <w:sz w:val="28"/>
      <w:szCs w:val="23"/>
    </w:rPr>
  </w:style>
  <w:style w:type="character" w:customStyle="1" w:styleId="13">
    <w:name w:val="Мой стиль 1 Знак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  <w:style w:type="numbering" w:customStyle="1" w:styleId="WWNum2">
    <w:name w:val="WWNum2"/>
    <w:basedOn w:val="a4"/>
    <w:pPr>
      <w:numPr>
        <w:numId w:val="15"/>
      </w:numPr>
    </w:pPr>
  </w:style>
  <w:style w:type="numbering" w:customStyle="1" w:styleId="WWNum3">
    <w:name w:val="WWNum3"/>
    <w:basedOn w:val="a4"/>
    <w:pPr>
      <w:numPr>
        <w:numId w:val="16"/>
      </w:numPr>
    </w:pPr>
  </w:style>
  <w:style w:type="numbering" w:customStyle="1" w:styleId="WWNum4">
    <w:name w:val="WWNum4"/>
    <w:basedOn w:val="a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2025-02-19T06:54:00Z</dcterms:created>
  <dcterms:modified xsi:type="dcterms:W3CDTF">2025-02-19T06:54:00Z</dcterms:modified>
</cp:coreProperties>
</file>